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научное учреждение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Федеральный исследовательский центр фундаментальной и трансляционной медицины (ФИЦ ФТМ)</w:t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2"/>
        <w:jc w:val="center"/>
        <w:rPr/>
      </w:pPr>
      <w:r>
        <w:rPr/>
        <w:t>ВОСЬМАЯ ВСЕРОССИЙСКАЯ НАУЧНО-ПРАКТИЧЕСКАЯ КОНФЕРЕНЦИЯ С МЕЖДУНАРОДНЫМ УЧАСТИЕМ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«ФУНДАМЕНТАЛЬНЫЕ АСПЕКТЫ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КОМПЕНСАТОРНО-ПРИСПОСОБИТЕЛЬНЫХ ПРОЦЕССОВ»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Информационное письмо №1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Новосибирск, 16-18 октября 2018 года</w:t>
      </w:r>
    </w:p>
    <w:p>
      <w:pPr>
        <w:pStyle w:val="Normal"/>
        <w:ind w:firstLine="284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28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Глубокоуважаемые коллеги!</w:t>
      </w:r>
    </w:p>
    <w:p>
      <w:pPr>
        <w:pStyle w:val="Normal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Приглашаем принять участие в работе</w:t>
      </w:r>
      <w:r>
        <w:rPr>
          <w:b/>
          <w:sz w:val="24"/>
          <w:szCs w:val="24"/>
        </w:rPr>
        <w:t xml:space="preserve"> Восьмой Всероссийской научно-практической конференции с международным участием «Фундаментальные аспекты компенсаторно-приспособительных процессов» </w:t>
      </w:r>
      <w:r>
        <w:rPr>
          <w:sz w:val="24"/>
          <w:szCs w:val="24"/>
        </w:rPr>
        <w:t>(Новосибирск, Советский район, ул. Тимакова, 2).</w:t>
      </w:r>
    </w:p>
    <w:p>
      <w:pPr>
        <w:pStyle w:val="Normal"/>
        <w:ind w:firstLine="284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рамках конференции будут проведены следующие симпозиумы:</w:t>
      </w:r>
      <w:r>
        <w:rPr>
          <w:sz w:val="24"/>
          <w:szCs w:val="24"/>
        </w:rPr>
        <w:t xml:space="preserve"> </w:t>
      </w:r>
    </w:p>
    <w:p>
      <w:pPr>
        <w:pStyle w:val="Normal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Биологические, медицинские и экологические аспекты процессов компенсации и приспособления</w:t>
      </w:r>
    </w:p>
    <w:p>
      <w:pPr>
        <w:pStyle w:val="ListParagraph"/>
        <w:ind w:left="1004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программные вопросы: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- типовые реакции организма на  воздействия факторов внешней среды биологической и небиологической природы в  реализации процессов приспособления и компенсации;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механизмы гомеостатических реакций в норме и при патологии;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- центральные и периферические механизмы эндокринной регуляции процессов компенсации и приспособления, экспериментальные и клинические аспекты;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роль иммунной системы в регуляции процессов компенсации и приспособления, экспериментальные и клинические аспекты;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межсистемные и межорганные взаимодействия в реализации компенсаторно-приспособительных процессов;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- перестройка гомеостатических систем человека и животных при стрессе; биохимические и молекулярные аспекты;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- значение экологических факторов (природных, социальных, техногенных) в формировании компенсаторно-приспособительных реакций и их результатов;</w:t>
      </w:r>
    </w:p>
    <w:p>
      <w:pPr>
        <w:pStyle w:val="Normal"/>
        <w:ind w:firstLine="644"/>
        <w:rPr>
          <w:sz w:val="24"/>
          <w:szCs w:val="24"/>
        </w:rPr>
      </w:pPr>
      <w:r>
        <w:rPr>
          <w:sz w:val="24"/>
          <w:szCs w:val="24"/>
        </w:rPr>
        <w:t>- технологии, средства и способы оптимизации компенсаторно-приспособительных процессов, включая методы направленной регуляции активности генов, конструирование штаммов продуцентов белков-регуляторов иммунной системы и гематопоэза.</w:t>
      </w:r>
    </w:p>
    <w:p>
      <w:pPr>
        <w:pStyle w:val="Normal"/>
        <w:ind w:firstLine="64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Молекулярно-клеточные механизмы воспаления и его исходов</w:t>
      </w:r>
    </w:p>
    <w:p>
      <w:pPr>
        <w:pStyle w:val="Normal"/>
        <w:ind w:firstLine="6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программные вопросы:</w:t>
      </w:r>
    </w:p>
    <w:p>
      <w:pPr>
        <w:pStyle w:val="Normal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острое и хроническое воспаление, проблемы патогенеза (эффекторные клетки, медиаторы воспаления, система крови);</w:t>
      </w:r>
    </w:p>
    <w:p>
      <w:pPr>
        <w:pStyle w:val="Normal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этиология, патогенез и молекулярно-клеточные механизмы гранулематозного воспаления и стратегии коррекции;</w:t>
      </w:r>
    </w:p>
    <w:p>
      <w:pPr>
        <w:pStyle w:val="Normal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цитоморфологические и биохимические аспекты процессов деструкции, некроза и апоптоза при воспалении различного генеза, физиологическая и репаративная регенерация.</w:t>
      </w:r>
    </w:p>
    <w:p>
      <w:pPr>
        <w:pStyle w:val="Normal"/>
        <w:ind w:left="360" w:firstLine="240"/>
        <w:jc w:val="both"/>
        <w:rPr>
          <w:sz w:val="24"/>
          <w:szCs w:val="24"/>
        </w:rPr>
      </w:pPr>
      <w:r>
        <w:rPr>
          <w:sz w:val="24"/>
          <w:szCs w:val="24"/>
        </w:rPr>
        <w:t>- иммунные процессы в очаге воспаления;</w:t>
      </w:r>
    </w:p>
    <w:p>
      <w:pPr>
        <w:pStyle w:val="Normal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состояние микроциркуляции при воспалении;</w:t>
      </w:r>
    </w:p>
    <w:p>
      <w:pPr>
        <w:pStyle w:val="Normal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молекулярно-клеточные и системные механизмы адаптивных реакций  при вирусных и бактериальных инфекциях, стратегии и средства коррекции.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76"/>
        <w:ind w:firstLine="6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рамках работы Конференции будут проведены:</w:t>
      </w:r>
    </w:p>
    <w:p>
      <w:pPr>
        <w:pStyle w:val="Normal"/>
        <w:spacing w:lineRule="auto" w:line="276"/>
        <w:ind w:firstLine="60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Симпозиум «Возрастные аспекты здоровья нации: когнитивные нарушения, мужское и женское здоровье, реабилитация»</w:t>
      </w:r>
    </w:p>
    <w:p>
      <w:pPr>
        <w:pStyle w:val="Normal"/>
        <w:spacing w:lineRule="auto" w:line="276"/>
        <w:ind w:firstLine="60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Молодежный симпозиум «Системные и молекулярно-клеточные механизмы приспособления и компенсации при развитии инфекционных и неинфекционных патологических процессов» с КОНКУРСОМ МОЛОДЫХ УЧЕНЫХ, </w:t>
      </w:r>
      <w:r>
        <w:rPr>
          <w:bCs/>
          <w:sz w:val="24"/>
          <w:szCs w:val="24"/>
        </w:rPr>
        <w:t>в котором могут принять участие студенты, аспиранты, научные сотрудники без степени или со степенью кандидата наук в возрасте до 35 лет. Для участия в конкурсе молодые ученые должны представить в Оргкомитет тезисы по тематике симпозиумов (см. выше) и регистрационную карту, в которой сообщить об участии в конкурсе и обязательно указать дату рождения; об условиях проведения конкурса будет сообщено дополнительно;</w:t>
      </w:r>
    </w:p>
    <w:p>
      <w:pPr>
        <w:pStyle w:val="Normal"/>
        <w:ind w:firstLine="600"/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</w:r>
    </w:p>
    <w:p>
      <w:pPr>
        <w:pStyle w:val="Normal"/>
        <w:ind w:left="708" w:firstLine="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Формы участия: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доклад (устный или постерный);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публикация тезисов;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709" w:hanging="284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выставка современных средств и технологий оценки и коррекции компенсаторно-приспособительных процессов.</w:t>
      </w:r>
    </w:p>
    <w:p>
      <w:pPr>
        <w:pStyle w:val="Normal"/>
        <w:ind w:firstLine="425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ind w:firstLine="6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тезисов</w:t>
      </w:r>
    </w:p>
    <w:p>
      <w:pPr>
        <w:pStyle w:val="Normal"/>
        <w:spacing w:lineRule="auto" w:line="276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тезисов должны содержать информацию, свидетельствующую о возможности отнесения представленных материалов к проблематике процессов приспособления и компенсации. </w:t>
      </w:r>
    </w:p>
    <w:p>
      <w:pPr>
        <w:pStyle w:val="Normal"/>
        <w:spacing w:lineRule="auto" w:line="276"/>
        <w:ind w:firstLine="600"/>
        <w:jc w:val="both"/>
        <w:rPr/>
      </w:pPr>
      <w:r>
        <w:rPr>
          <w:sz w:val="24"/>
          <w:szCs w:val="24"/>
        </w:rPr>
        <w:t xml:space="preserve">Тезисы принимаются в электронном виде на русском (для иностранных участников – английском) языке по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2">
        <w:r>
          <w:rPr>
            <w:rStyle w:val="Style12"/>
            <w:sz w:val="24"/>
            <w:szCs w:val="24"/>
            <w:lang w:val="en-US"/>
          </w:rPr>
          <w:t>labend</w:t>
        </w:r>
        <w:r>
          <w:rPr>
            <w:rStyle w:val="Style12"/>
            <w:sz w:val="24"/>
            <w:szCs w:val="24"/>
          </w:rPr>
          <w:t>@</w:t>
        </w:r>
        <w:r>
          <w:rPr>
            <w:rStyle w:val="Style12"/>
            <w:sz w:val="24"/>
            <w:szCs w:val="24"/>
            <w:lang w:val="en-US"/>
          </w:rPr>
          <w:t>centercem</w:t>
        </w:r>
        <w:r>
          <w:rPr>
            <w:rStyle w:val="Style12"/>
            <w:sz w:val="24"/>
            <w:szCs w:val="24"/>
          </w:rPr>
          <w:t>.</w:t>
        </w:r>
        <w:r>
          <w:rPr>
            <w:rStyle w:val="Style12"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76"/>
        <w:ind w:firstLine="60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Файлы в электронном варианте следует называть по фамилии первого автора с указанием города (пример: Макаров_Новосибирск). Если тезисов от первого автора несколько, ставить порядковый номер (Макаров_Новосибирск_1). Тезисы принимаются в текстовом редакторе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6.0 или 7.0, объем 1 страница через 1 интервал, шрифт 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, размер шрифта 12, все поля 2,5 см. Порядок изложения: название доклада прописными буквами, с новой строки - фамилии и инициалы авторов, на следующей строке - организация, город, страна (выравнивание посередине). Затем оставляется одна свободная строка и печатается основной текст (выравнивание по ширине с переносами). Абзацный отступ – 1 см, рекомендуется цитирование авторов только в тексте (например, П.Н.Иванов и др., 1978), без таблиц, рисунков, микрофотографий и списка литературы. </w:t>
      </w:r>
      <w:r>
        <w:rPr>
          <w:bCs/>
          <w:iCs/>
          <w:sz w:val="24"/>
          <w:szCs w:val="24"/>
        </w:rPr>
        <w:t>К тезисам прилагается отдельным файлом регистрационная карта участника (см. ниже); название файла Макаров_Новосибирск_РК.</w:t>
      </w:r>
    </w:p>
    <w:p>
      <w:pPr>
        <w:pStyle w:val="Normal"/>
        <w:ind w:firstLine="600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</w:r>
    </w:p>
    <w:p>
      <w:pPr>
        <w:pStyle w:val="BodyText2"/>
        <w:spacing w:lineRule="auto" w:line="276"/>
        <w:ind w:firstLine="426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Организационный взнос:</w:t>
      </w:r>
    </w:p>
    <w:p>
      <w:pPr>
        <w:pStyle w:val="BodyText2"/>
        <w:spacing w:lineRule="auto" w:line="276"/>
        <w:ind w:firstLine="426"/>
        <w:rPr>
          <w:sz w:val="24"/>
          <w:szCs w:val="24"/>
        </w:rPr>
      </w:pPr>
      <w:r>
        <w:rPr>
          <w:sz w:val="24"/>
          <w:szCs w:val="24"/>
        </w:rPr>
        <w:t>для очного участия в работе конференции, включая публикацию тезисов в сборнике трудов конференции (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, полнотекстовая версия сборника будет размещена на сайте ФИЦ ФТМ и в Научной электронной библиотеке </w:t>
      </w:r>
      <w:r>
        <w:rPr>
          <w:sz w:val="24"/>
          <w:szCs w:val="24"/>
          <w:lang w:val="en-US"/>
        </w:rPr>
        <w:t>eLIBRARY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– 600 руб; организационный взнос для заочного участия (только публикация тезисов) – 300 руб; организационный взнос за устное сообщение рекламного характера в рамках работы конференции – 6000 руб. </w:t>
      </w:r>
    </w:p>
    <w:p>
      <w:pPr>
        <w:pStyle w:val="BodyText2"/>
        <w:ind w:firstLine="42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Сборник трудов конференции на бумажном носителе</w:t>
      </w:r>
      <w:r>
        <w:rPr>
          <w:sz w:val="24"/>
          <w:szCs w:val="24"/>
        </w:rPr>
        <w:t xml:space="preserve"> можно будет приобрести во время работы конференции.</w:t>
      </w:r>
    </w:p>
    <w:p>
      <w:pPr>
        <w:pStyle w:val="BodyText2"/>
        <w:spacing w:lineRule="auto" w:line="276"/>
        <w:ind w:firstLine="426"/>
        <w:rPr>
          <w:b/>
          <w:b/>
          <w:color w:val="FF0000"/>
          <w:sz w:val="28"/>
          <w:szCs w:val="28"/>
          <w:u w:val="single"/>
        </w:rPr>
      </w:pPr>
      <w:bookmarkStart w:id="0" w:name="__DdeLink__724_3294419069"/>
      <w:r>
        <w:rPr>
          <w:color w:val="FF0000"/>
          <w:sz w:val="28"/>
          <w:szCs w:val="28"/>
        </w:rPr>
        <w:t xml:space="preserve">Тезисы для опубликования с регистрационной картой участника и сканированной копией квитанции об оплате принимаются до 29 июня 2018 г. по электронному адресу:  </w:t>
      </w:r>
      <w:r>
        <w:rPr>
          <w:b/>
          <w:color w:val="FF0000"/>
          <w:sz w:val="28"/>
          <w:szCs w:val="28"/>
          <w:u w:val="single"/>
          <w:lang w:val="en-US"/>
        </w:rPr>
        <w:t>labend</w:t>
      </w:r>
      <w:r>
        <w:rPr>
          <w:b/>
          <w:color w:val="FF0000"/>
          <w:sz w:val="28"/>
          <w:szCs w:val="28"/>
          <w:u w:val="single"/>
        </w:rPr>
        <w:t>@</w:t>
      </w:r>
      <w:r>
        <w:rPr>
          <w:b/>
          <w:color w:val="FF0000"/>
          <w:sz w:val="28"/>
          <w:szCs w:val="28"/>
          <w:u w:val="single"/>
          <w:lang w:val="en-US"/>
        </w:rPr>
        <w:t>centercem</w:t>
      </w:r>
      <w:r>
        <w:rPr>
          <w:b/>
          <w:color w:val="FF0000"/>
          <w:sz w:val="28"/>
          <w:szCs w:val="28"/>
          <w:u w:val="single"/>
        </w:rPr>
        <w:t>.</w:t>
      </w:r>
      <w:bookmarkEnd w:id="0"/>
      <w:r>
        <w:rPr>
          <w:b/>
          <w:color w:val="FF0000"/>
          <w:sz w:val="28"/>
          <w:szCs w:val="28"/>
          <w:u w:val="single"/>
          <w:lang w:val="en-US"/>
        </w:rPr>
        <w:t>ru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BodyText2"/>
        <w:ind w:firstLine="426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 для оплаты организационного взноса (указывать обязательно все, включая назначение платежа):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ИНН 5408157430 / КПП 540801001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УФК по Новосибирской области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(ФИЦ ФТМ л/сч 20516У61890)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Р/сч. 40501810700042000002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Сибирское ГУ Банка России г. Новосибирск  БИК 045004001 </w:t>
      </w:r>
    </w:p>
    <w:p>
      <w:pPr>
        <w:pStyle w:val="Normal"/>
        <w:ind w:left="360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Назначение платежа: </w:t>
      </w:r>
    </w:p>
    <w:p>
      <w:pPr>
        <w:pStyle w:val="Normal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Код 00000000000000000130 Средства, поступающие от организации и проведения конгрессов, съездов, конференций.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РЕГИСТРАЦИОННАЯ КАРТА</w:t>
      </w:r>
      <w:r>
        <w:rPr>
          <w:bCs/>
          <w:sz w:val="24"/>
          <w:szCs w:val="24"/>
        </w:rPr>
        <w:t xml:space="preserve"> участника конференции «Фундаментальные аспекты к</w:t>
      </w:r>
      <w:r>
        <w:rPr>
          <w:sz w:val="24"/>
          <w:szCs w:val="24"/>
        </w:rPr>
        <w:t xml:space="preserve">омпенсаторно-приспособительных процессов», </w:t>
      </w:r>
      <w:r>
        <w:rPr>
          <w:bCs/>
          <w:sz w:val="24"/>
          <w:szCs w:val="24"/>
        </w:rPr>
        <w:t>Новосибирск,  16-18 октября 2018 г.</w:t>
      </w:r>
    </w:p>
    <w:p>
      <w:pPr>
        <w:pStyle w:val="Normal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51"/>
        <w:gridCol w:w="3853"/>
      </w:tblGrid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Ученая степень, звание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 служебный / домашний для переписки (указать почтовый индекс) 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 служебный / домашний (с кодом города)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E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участия (доклад устный,  постерный, публикация тезисов, устное сообщение рекламного характера)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конкурсе молодых ученых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рождения - для участников Конкурса молодых ученых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Название тезисов 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Обращаем внимание участников конференции: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ОРГКОМИТЕТ конференции размещением гостей в гостинице не занимается.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Ближайшая к месту проведения конференции гостиница «Золотая Долина» в Академгородке: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ул. Ильича, 10;  (383) 3301916; </w:t>
      </w:r>
      <w:hyperlink r:id="rId3">
        <w:r>
          <w:rPr>
            <w:rStyle w:val="Style12"/>
            <w:sz w:val="24"/>
            <w:szCs w:val="24"/>
            <w:lang w:val="en-US"/>
          </w:rPr>
          <w:t>http</w:t>
        </w:r>
        <w:r>
          <w:rPr>
            <w:rStyle w:val="Style12"/>
            <w:sz w:val="24"/>
            <w:szCs w:val="24"/>
          </w:rPr>
          <w:t>://</w:t>
        </w:r>
        <w:r>
          <w:rPr>
            <w:rStyle w:val="Style12"/>
            <w:sz w:val="24"/>
            <w:szCs w:val="24"/>
            <w:lang w:val="en-US"/>
          </w:rPr>
          <w:t>www</w:t>
        </w:r>
        <w:r>
          <w:rPr>
            <w:rStyle w:val="Style12"/>
            <w:sz w:val="24"/>
            <w:szCs w:val="24"/>
          </w:rPr>
          <w:t>.</w:t>
        </w:r>
        <w:r>
          <w:rPr>
            <w:rStyle w:val="Style12"/>
            <w:sz w:val="24"/>
            <w:szCs w:val="24"/>
            <w:lang w:val="en-US"/>
          </w:rPr>
          <w:t>gold</w:t>
        </w:r>
        <w:r>
          <w:rPr>
            <w:rStyle w:val="Style12"/>
            <w:sz w:val="24"/>
            <w:szCs w:val="24"/>
          </w:rPr>
          <w:t>-</w:t>
        </w:r>
        <w:r>
          <w:rPr>
            <w:rStyle w:val="Style12"/>
            <w:sz w:val="24"/>
            <w:szCs w:val="24"/>
            <w:lang w:val="en-US"/>
          </w:rPr>
          <w:t>valley</w:t>
        </w:r>
        <w:r>
          <w:rPr>
            <w:rStyle w:val="Style12"/>
            <w:sz w:val="24"/>
            <w:szCs w:val="24"/>
          </w:rPr>
          <w:t>.</w:t>
        </w:r>
        <w:r>
          <w:rPr>
            <w:rStyle w:val="Style12"/>
            <w:sz w:val="24"/>
            <w:szCs w:val="24"/>
            <w:lang w:val="en-US"/>
          </w:rPr>
          <w:t>ru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Проезд: </w:t>
      </w:r>
      <w:r>
        <w:rPr>
          <w:sz w:val="24"/>
          <w:szCs w:val="24"/>
        </w:rPr>
        <w:t>- маршрутное такси и автобус №52 из Академгородка (остановка в 5 минутах ходьбы от гостиницы «Золотая долина») до ФИЦ ФТМ (конечная остановка маршрутного такси и автобуса).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Гостиница «Маринс Парк Отель Новосибирск» (возле железнодорожного вокзала):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Ул. Вокзальная магистраль, 1; (383) 364-01-01; </w:t>
      </w:r>
      <w:hyperlink r:id="rId4">
        <w:r>
          <w:rPr>
            <w:rStyle w:val="Style12"/>
            <w:sz w:val="24"/>
            <w:szCs w:val="24"/>
          </w:rPr>
          <w:t>http://www.hotel-novosibirsk.ru</w:t>
        </w:r>
      </w:hyperlink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Гостиница «</w:t>
      </w:r>
      <w:r>
        <w:rPr>
          <w:sz w:val="24"/>
          <w:szCs w:val="24"/>
          <w:lang w:val="en-US"/>
        </w:rPr>
        <w:t>River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Park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OB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Hotel</w:t>
      </w:r>
      <w:r>
        <w:rPr>
          <w:sz w:val="24"/>
          <w:szCs w:val="24"/>
        </w:rPr>
        <w:t>» (возле остановки метро «Речной вокзал»):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Ул. Добролюбова, 2;  (383) 2669666; </w:t>
      </w:r>
      <w:hyperlink r:id="rId5">
        <w:r>
          <w:rPr>
            <w:rStyle w:val="Style12"/>
            <w:sz w:val="24"/>
            <w:szCs w:val="24"/>
            <w:lang w:val="en-US"/>
          </w:rPr>
          <w:t>http</w:t>
        </w:r>
        <w:r>
          <w:rPr>
            <w:rStyle w:val="Style12"/>
            <w:sz w:val="24"/>
            <w:szCs w:val="24"/>
          </w:rPr>
          <w:t>://</w:t>
        </w:r>
        <w:r>
          <w:rPr>
            <w:rStyle w:val="Style12"/>
            <w:sz w:val="24"/>
            <w:szCs w:val="24"/>
            <w:lang w:val="en-US"/>
          </w:rPr>
          <w:t>www</w:t>
        </w:r>
        <w:r>
          <w:rPr>
            <w:rStyle w:val="Style12"/>
            <w:sz w:val="24"/>
            <w:szCs w:val="24"/>
          </w:rPr>
          <w:t>.</w:t>
        </w:r>
        <w:r>
          <w:rPr>
            <w:rStyle w:val="Style12"/>
            <w:sz w:val="24"/>
            <w:szCs w:val="24"/>
            <w:lang w:val="en-US"/>
          </w:rPr>
          <w:t>riverpark</w:t>
        </w:r>
        <w:r>
          <w:rPr>
            <w:rStyle w:val="Style12"/>
            <w:sz w:val="24"/>
            <w:szCs w:val="24"/>
          </w:rPr>
          <w:t>.</w:t>
        </w:r>
        <w:r>
          <w:rPr>
            <w:rStyle w:val="Style12"/>
            <w:sz w:val="24"/>
            <w:szCs w:val="24"/>
            <w:lang w:val="en-US"/>
          </w:rPr>
          <w:t>ru</w:t>
        </w:r>
      </w:hyperlink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Информация о проведении конференции будет размещаться на сайте: http://centercem.ru/</w:t>
      </w:r>
    </w:p>
    <w:p>
      <w:pPr>
        <w:pStyle w:val="Normal"/>
        <w:ind w:firstLine="426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firstLine="42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Контакты:</w:t>
      </w:r>
    </w:p>
    <w:p>
      <w:pPr>
        <w:pStyle w:val="Normal"/>
        <w:spacing w:lineRule="auto" w:line="276"/>
        <w:jc w:val="both"/>
        <w:rPr/>
      </w:pPr>
      <w:r>
        <w:rPr>
          <w:bCs/>
          <w:sz w:val="24"/>
          <w:szCs w:val="24"/>
        </w:rPr>
        <w:t xml:space="preserve">Заместитель директора по научно-организационной работе, д.б.н., профессор Вера Георгиевна Селятицкая - </w:t>
      </w:r>
      <w:bookmarkStart w:id="1" w:name="_GoBack"/>
      <w:bookmarkEnd w:id="1"/>
      <w:r>
        <w:rPr>
          <w:bCs/>
          <w:sz w:val="24"/>
          <w:szCs w:val="24"/>
        </w:rPr>
        <w:t>(</w:t>
      </w:r>
      <w:r>
        <w:rPr>
          <w:sz w:val="24"/>
          <w:szCs w:val="24"/>
        </w:rPr>
        <w:t xml:space="preserve">383) 3336822;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 </w:t>
      </w:r>
      <w:hyperlink r:id="rId6">
        <w:r>
          <w:rPr>
            <w:rStyle w:val="Style12"/>
            <w:sz w:val="24"/>
            <w:szCs w:val="24"/>
            <w:lang w:val="en-US"/>
          </w:rPr>
          <w:t>ccem</w:t>
        </w:r>
        <w:r>
          <w:rPr>
            <w:rStyle w:val="Style12"/>
            <w:sz w:val="24"/>
            <w:szCs w:val="24"/>
          </w:rPr>
          <w:t>@</w:t>
        </w:r>
        <w:r>
          <w:rPr>
            <w:rStyle w:val="Style12"/>
            <w:sz w:val="24"/>
            <w:szCs w:val="24"/>
            <w:lang w:val="en-US"/>
          </w:rPr>
          <w:t>centercem</w:t>
        </w:r>
        <w:r>
          <w:rPr>
            <w:rStyle w:val="Style12"/>
            <w:sz w:val="24"/>
            <w:szCs w:val="24"/>
          </w:rPr>
          <w:t>.</w:t>
        </w:r>
        <w:r>
          <w:rPr>
            <w:rStyle w:val="Style12"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76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Ученый секретарь, д.б.н. Наталья Александровна Пальчикова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(383) 3334753;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7">
        <w:r>
          <w:rPr>
            <w:rStyle w:val="Style12"/>
            <w:sz w:val="24"/>
            <w:szCs w:val="24"/>
            <w:lang w:val="en-US"/>
          </w:rPr>
          <w:t>labend</w:t>
        </w:r>
        <w:r>
          <w:rPr>
            <w:rStyle w:val="Style12"/>
            <w:sz w:val="24"/>
            <w:szCs w:val="24"/>
          </w:rPr>
          <w:t>@</w:t>
        </w:r>
        <w:r>
          <w:rPr>
            <w:rStyle w:val="Style12"/>
            <w:sz w:val="24"/>
            <w:szCs w:val="24"/>
            <w:lang w:val="en-US"/>
          </w:rPr>
          <w:t>centercem</w:t>
        </w:r>
        <w:r>
          <w:rPr>
            <w:rStyle w:val="Style12"/>
            <w:sz w:val="24"/>
            <w:szCs w:val="24"/>
          </w:rPr>
          <w:t>.</w:t>
        </w:r>
        <w:r>
          <w:rPr>
            <w:rStyle w:val="Style12"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76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Начальник ПФО Денис Алексеевич Рыжов (вопросы оплаты) - (383) 3336824;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 </w:t>
      </w:r>
      <w:hyperlink r:id="rId8">
        <w:r>
          <w:rPr>
            <w:rStyle w:val="Style12"/>
            <w:sz w:val="24"/>
            <w:szCs w:val="24"/>
          </w:rPr>
          <w:t>rda@ngs.ru</w:t>
        </w:r>
      </w:hyperlink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134" w:right="567" w:header="0" w:top="1134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a5d7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2">
    <w:name w:val="Heading 2"/>
    <w:basedOn w:val="Normal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3a5d71"/>
    <w:pPr>
      <w:keepNext/>
      <w:jc w:val="both"/>
      <w:outlineLvl w:val="4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3a5d71"/>
    <w:rPr>
      <w:color w:val="0000FF"/>
      <w:u w:val="single"/>
    </w:rPr>
  </w:style>
  <w:style w:type="character" w:styleId="Style13" w:customStyle="1">
    <w:name w:val="Основной текст Знак"/>
    <w:link w:val="ab"/>
    <w:qFormat/>
    <w:locked/>
    <w:rsid w:val="003a5d71"/>
    <w:rPr>
      <w:sz w:val="24"/>
      <w:szCs w:val="24"/>
      <w:lang w:bidi="ar-SA"/>
    </w:rPr>
  </w:style>
  <w:style w:type="character" w:styleId="Style14" w:customStyle="1">
    <w:name w:val="Название Знак"/>
    <w:link w:val="a3"/>
    <w:qFormat/>
    <w:locked/>
    <w:rsid w:val="001963b0"/>
    <w:rPr>
      <w:sz w:val="28"/>
      <w:lang w:val="ru-RU" w:eastAsia="ru-RU" w:bidi="ar-SA"/>
    </w:rPr>
  </w:style>
  <w:style w:type="character" w:styleId="Style15" w:customStyle="1">
    <w:name w:val="Основной текст + Полужирный"/>
    <w:qFormat/>
    <w:rsid w:val="00df14d9"/>
    <w:rPr>
      <w:rFonts w:ascii="Times New Roman" w:hAnsi="Times New Roman" w:cs="Times New Roman"/>
      <w:b/>
      <w:bCs/>
      <w:sz w:val="24"/>
      <w:szCs w:val="24"/>
    </w:rPr>
  </w:style>
  <w:style w:type="character" w:styleId="Style16" w:customStyle="1">
    <w:name w:val="Текст выноски Знак"/>
    <w:basedOn w:val="DefaultParagraphFont"/>
    <w:link w:val="af0"/>
    <w:qFormat/>
    <w:rsid w:val="00987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sid w:val="008a1fa8"/>
    <w:rPr>
      <w:color w:val="800080" w:themeColor="followedHyperlink"/>
      <w:u w:val="single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a"/>
    <w:semiHidden/>
    <w:rsid w:val="003a5d71"/>
    <w:pPr>
      <w:spacing w:before="0" w:after="120"/>
    </w:pPr>
    <w:rPr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4"/>
    <w:qFormat/>
    <w:rsid w:val="003a5d71"/>
    <w:pPr>
      <w:widowControl w:val="false"/>
      <w:spacing w:lineRule="auto" w:line="264"/>
      <w:ind w:firstLine="720"/>
      <w:jc w:val="center"/>
    </w:pPr>
    <w:rPr>
      <w:sz w:val="28"/>
    </w:rPr>
  </w:style>
  <w:style w:type="paragraph" w:styleId="FR2" w:customStyle="1">
    <w:name w:val="FR2"/>
    <w:qFormat/>
    <w:rsid w:val="003a5d71"/>
    <w:pPr>
      <w:widowControl/>
      <w:bidi w:val="0"/>
      <w:spacing w:before="20" w:after="0"/>
      <w:ind w:left="80" w:hanging="0"/>
      <w:jc w:val="center"/>
    </w:pPr>
    <w:rPr>
      <w:rFonts w:ascii="Times New Roman" w:hAnsi="Times New Roman" w:eastAsia="Times New Roman" w:cs="Times New Roman"/>
      <w:color w:val="auto"/>
      <w:sz w:val="18"/>
      <w:szCs w:val="18"/>
      <w:lang w:val="ru-RU" w:eastAsia="ru-RU" w:bidi="ar-SA"/>
    </w:rPr>
  </w:style>
  <w:style w:type="paragraph" w:styleId="51" w:customStyle="1">
    <w:name w:val="Заголовок 51"/>
    <w:basedOn w:val="Normal"/>
    <w:qFormat/>
    <w:rsid w:val="003a5d71"/>
    <w:pPr>
      <w:keepNext/>
      <w:jc w:val="center"/>
      <w:outlineLvl w:val="4"/>
    </w:pPr>
    <w:rPr>
      <w:sz w:val="28"/>
    </w:rPr>
  </w:style>
  <w:style w:type="paragraph" w:styleId="Style23" w:customStyle="1">
    <w:name w:val="Знак Знак Знак Знак Знак Знак Знак Знак Знак Знак"/>
    <w:basedOn w:val="Normal"/>
    <w:qFormat/>
    <w:rsid w:val="003a5d71"/>
    <w:pPr>
      <w:spacing w:beforeAutospacing="1" w:afterAutospacing="1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qFormat/>
    <w:rsid w:val="003a5d71"/>
    <w:pPr>
      <w:ind w:firstLine="284"/>
      <w:jc w:val="both"/>
    </w:pPr>
    <w:rPr>
      <w:sz w:val="26"/>
    </w:rPr>
  </w:style>
  <w:style w:type="paragraph" w:styleId="BodyText2">
    <w:name w:val="Body Text 2"/>
    <w:basedOn w:val="Normal"/>
    <w:qFormat/>
    <w:rsid w:val="003a5d71"/>
    <w:pPr>
      <w:jc w:val="both"/>
    </w:pPr>
    <w:rPr>
      <w:sz w:val="26"/>
    </w:rPr>
  </w:style>
  <w:style w:type="paragraph" w:styleId="Style24">
    <w:name w:val="Body Text Indent"/>
    <w:basedOn w:val="Normal"/>
    <w:rsid w:val="003a5d71"/>
    <w:pPr>
      <w:spacing w:before="0" w:after="120"/>
      <w:ind w:left="283" w:hanging="0"/>
    </w:pPr>
    <w:rPr/>
  </w:style>
  <w:style w:type="paragraph" w:styleId="Style25" w:customStyle="1">
    <w:name w:val="Знак"/>
    <w:basedOn w:val="Normal"/>
    <w:qFormat/>
    <w:rsid w:val="003a5d71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6" w:customStyle="1">
    <w:name w:val="ВОГиС"/>
    <w:basedOn w:val="NormalWeb"/>
    <w:semiHidden/>
    <w:qFormat/>
    <w:rsid w:val="003a5d71"/>
    <w:pPr>
      <w:jc w:val="both"/>
    </w:pPr>
    <w:rPr>
      <w:rFonts w:ascii="Calibri" w:hAnsi="Calibri" w:eastAsia="Calibri"/>
      <w:bCs/>
    </w:rPr>
  </w:style>
  <w:style w:type="paragraph" w:styleId="NormalWeb">
    <w:name w:val="Normal (Web)"/>
    <w:basedOn w:val="Normal"/>
    <w:qFormat/>
    <w:rsid w:val="003a5d71"/>
    <w:pPr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723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qFormat/>
    <w:rsid w:val="009875da"/>
    <w:pPr/>
    <w:rPr>
      <w:rFonts w:ascii="Tahoma" w:hAnsi="Tahoma" w:cs="Tahoma"/>
      <w:sz w:val="16"/>
      <w:szCs w:val="16"/>
    </w:rPr>
  </w:style>
  <w:style w:type="paragraph" w:styleId="Style27" w:customStyle="1">
    <w:name w:val="Знак Знак Знак Знак Знак Знак Знак Знак Знак"/>
    <w:basedOn w:val="Normal"/>
    <w:qFormat/>
    <w:rsid w:val="007e0ac7"/>
    <w:pPr>
      <w:spacing w:beforeAutospacing="1" w:afterAutospacing="1"/>
    </w:pPr>
    <w:rPr>
      <w:rFonts w:ascii="Tahoma" w:hAnsi="Tahom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bend@centercem.ru" TargetMode="External"/><Relationship Id="rId3" Type="http://schemas.openxmlformats.org/officeDocument/2006/relationships/hyperlink" Target="http://www.gold-valley.ru/" TargetMode="External"/><Relationship Id="rId4" Type="http://schemas.openxmlformats.org/officeDocument/2006/relationships/hyperlink" Target="http://www.hotel-novosibirsk.ru/" TargetMode="External"/><Relationship Id="rId5" Type="http://schemas.openxmlformats.org/officeDocument/2006/relationships/hyperlink" Target="http://www.riverpark.ru/" TargetMode="External"/><Relationship Id="rId6" Type="http://schemas.openxmlformats.org/officeDocument/2006/relationships/hyperlink" Target="mailto:ccem@centercem.ru" TargetMode="External"/><Relationship Id="rId7" Type="http://schemas.openxmlformats.org/officeDocument/2006/relationships/hyperlink" Target="mailto:labend@centercem.ru" TargetMode="External"/><Relationship Id="rId8" Type="http://schemas.openxmlformats.org/officeDocument/2006/relationships/hyperlink" Target="mailto:rda@ngs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6434-5BD0-48E9-A865-BEDCFC1C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LibreOffice/5.3.0.3$Windows_x86 LibreOffice_project/7074905676c47b82bbcfbea1aeefc84afe1c50e1</Application>
  <Pages>6</Pages>
  <Words>889</Words>
  <Characters>6892</Characters>
  <CharactersWithSpaces>7727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2018-03-26T08:01:00Z</dcterms:created>
  <dc:creator>Oxana</dc:creator>
  <dc:description/>
  <dc:language>ru-RU</dc:language>
  <cp:lastModifiedBy>k417</cp:lastModifiedBy>
  <cp:lastPrinted>2018-03-22T09:42:00Z</cp:lastPrinted>
  <dcterms:modified xsi:type="dcterms:W3CDTF">2018-06-06T06:47:00Z</dcterms:modified>
  <cp:revision>4</cp:revision>
  <dc:subject/>
  <dc:title>РОССИЙСКАЯ АКАДЕМИЯ МЕДИЦИНСКИХ НАУК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